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ajorEastAsia" w:cstheme="majorBidi"/>
          <w:sz w:val="36"/>
          <w:szCs w:val="36"/>
        </w:rPr>
        <w:id w:val="3505345"/>
        <w:docPartObj>
          <w:docPartGallery w:val="Cover Pages"/>
          <w:docPartUnique/>
        </w:docPartObj>
      </w:sdtPr>
      <w:sdtEndPr>
        <w:rPr>
          <w:rFonts w:eastAsiaTheme="minorEastAsia" w:cstheme="minorBidi"/>
          <w:sz w:val="22"/>
          <w:szCs w:val="22"/>
        </w:rPr>
      </w:sdtEndPr>
      <w:sdtContent>
        <w:p w:rsidR="0056097F" w:rsidRPr="002A5745" w:rsidRDefault="0056097F" w:rsidP="0056097F">
          <w:pPr>
            <w:pStyle w:val="Nessunaspaziatura"/>
            <w:jc w:val="right"/>
          </w:pPr>
        </w:p>
        <w:tbl>
          <w:tblPr>
            <w:tblpPr w:leftFromText="187" w:rightFromText="187" w:vertAnchor="page" w:horzAnchor="page" w:tblpXSpec="center" w:tblpYSpec="center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 w:firstRow="1" w:lastRow="0" w:firstColumn="1" w:lastColumn="0" w:noHBand="0" w:noVBand="1"/>
          </w:tblPr>
          <w:tblGrid>
            <w:gridCol w:w="2626"/>
            <w:gridCol w:w="1134"/>
            <w:gridCol w:w="2126"/>
            <w:gridCol w:w="4184"/>
          </w:tblGrid>
          <w:tr w:rsidR="0009348B" w:rsidRPr="006F5A17" w:rsidTr="005F4184">
            <w:tc>
              <w:tcPr>
                <w:tcW w:w="2626" w:type="dxa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:rsidR="0009348B" w:rsidRPr="00DF1548" w:rsidRDefault="0009348B" w:rsidP="005F4184">
                <w:pPr>
                  <w:pStyle w:val="Nessunaspaziatura"/>
                  <w:jc w:val="center"/>
                  <w:rPr>
                    <w:rFonts w:eastAsiaTheme="majorEastAsia" w:cstheme="majorBidi"/>
                    <w:sz w:val="36"/>
                    <w:szCs w:val="36"/>
                  </w:rPr>
                </w:pPr>
                <w:r>
                  <w:rPr>
                    <w:rFonts w:eastAsiaTheme="majorEastAsia" w:cstheme="majorBidi"/>
                    <w:sz w:val="36"/>
                    <w:szCs w:val="36"/>
                  </w:rPr>
                  <w:t>GIU/2018</w:t>
                </w:r>
              </w:p>
            </w:tc>
            <w:tc>
              <w:tcPr>
                <w:tcW w:w="3260" w:type="dxa"/>
                <w:gridSpan w:val="2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:rsidR="0009348B" w:rsidRDefault="0009348B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7D7A089" wp14:editId="66367B63">
                      <wp:extent cx="873318" cy="1146230"/>
                      <wp:effectExtent l="0" t="0" r="3175" b="0"/>
                      <wp:docPr id="9356" name="Immagine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ECB23B-1F1D-41D9-9EE1-524771E7D08D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356" name="Immagine 2">
                                <a:extLst>
                                  <a:ext uri="{FF2B5EF4-FFF2-40B4-BE49-F238E27FC236}">
                                    <a16:creationId xmlns:a16="http://schemas.microsoft.com/office/drawing/2014/main" id="{7DECB23B-1F1D-41D9-9EE1-524771E7D08D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77325" cy="11514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9348B" w:rsidRDefault="0009348B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</w:p>
              <w:p w:rsidR="0009348B" w:rsidRPr="006F5A17" w:rsidRDefault="0009348B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  <w:r>
                  <w:rPr>
                    <w:b/>
                    <w:color w:val="C00000"/>
                  </w:rPr>
                  <w:t>COMUNE di BRICHERASIO</w:t>
                </w:r>
              </w:p>
            </w:tc>
            <w:tc>
              <w:tcPr>
                <w:tcW w:w="4184" w:type="dxa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:rsidR="0009348B" w:rsidRDefault="0009348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53287A14" wp14:editId="52E0276F">
                      <wp:simplePos x="0" y="0"/>
                      <wp:positionH relativeFrom="column">
                        <wp:posOffset>730885</wp:posOffset>
                      </wp:positionH>
                      <wp:positionV relativeFrom="page">
                        <wp:posOffset>93345</wp:posOffset>
                      </wp:positionV>
                      <wp:extent cx="1009650" cy="913765"/>
                      <wp:effectExtent l="0" t="0" r="0" b="635"/>
                      <wp:wrapSquare wrapText="bothSides"/>
                      <wp:docPr id="9" name="Immagin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09650" cy="91376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p w:rsidR="0009348B" w:rsidRDefault="0009348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09348B" w:rsidRDefault="0009348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09348B" w:rsidRDefault="0009348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09348B" w:rsidRPr="006F5A17" w:rsidRDefault="0009348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  <w:r w:rsidRPr="006F5A17">
                  <w:rPr>
                    <w:b/>
                    <w:color w:val="C00000"/>
                    <w:sz w:val="36"/>
                    <w:szCs w:val="36"/>
                  </w:rPr>
                  <w:t>PIANO INTERCOMUNALE DI PROTEZIONE CIVILE</w:t>
                </w:r>
              </w:p>
            </w:tc>
          </w:tr>
          <w:tr w:rsidR="0009348B" w:rsidRPr="004B04C4" w:rsidTr="005F4184">
            <w:tc>
              <w:tcPr>
                <w:tcW w:w="3760" w:type="dxa"/>
                <w:gridSpan w:val="2"/>
                <w:tcBorders>
                  <w:top w:val="single" w:sz="18" w:space="0" w:color="808080" w:themeColor="background1" w:themeShade="80"/>
                </w:tcBorders>
                <w:vAlign w:val="center"/>
              </w:tcPr>
              <w:p w:rsidR="0009348B" w:rsidRDefault="0009348B" w:rsidP="005F4184">
                <w:pPr>
                  <w:pStyle w:val="Nessunaspaziatura"/>
                </w:pP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7C55A2D0" wp14:editId="7C540F6D">
                      <wp:extent cx="1378054" cy="589031"/>
                      <wp:effectExtent l="19050" t="0" r="0" b="0"/>
                      <wp:docPr id="1" name="Immagine 0" descr="logo quesite srl 2009_ultim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 quesite srl 2009_ultimo.jpg"/>
                              <pic:cNvPicPr/>
                            </pic:nvPicPr>
                            <pic:blipFill>
                              <a:blip r:embed="rId10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86639" cy="59270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9348B" w:rsidRDefault="0009348B" w:rsidP="005F4184">
                <w:pPr>
                  <w:pStyle w:val="Nessunaspaziatura"/>
                  <w:rPr>
                    <w:rFonts w:ascii="Century Gothic" w:hAnsi="Century Gothic"/>
                    <w:sz w:val="16"/>
                    <w:szCs w:val="16"/>
                  </w:rPr>
                </w:pPr>
              </w:p>
              <w:p w:rsidR="0009348B" w:rsidRPr="000B28E1" w:rsidRDefault="0009348B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Via </w:t>
                </w:r>
                <w:proofErr w:type="spellStart"/>
                <w:r>
                  <w:rPr>
                    <w:sz w:val="18"/>
                    <w:szCs w:val="18"/>
                  </w:rPr>
                  <w:t>Chiappero</w:t>
                </w:r>
                <w:proofErr w:type="spellEnd"/>
                <w:r>
                  <w:rPr>
                    <w:sz w:val="18"/>
                    <w:szCs w:val="18"/>
                  </w:rPr>
                  <w:t xml:space="preserve"> 29/C</w:t>
                </w:r>
              </w:p>
              <w:p w:rsidR="0009348B" w:rsidRPr="000B28E1" w:rsidRDefault="0009348B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>10064 Pinerolo (TO)</w:t>
                </w:r>
              </w:p>
              <w:p w:rsidR="0009348B" w:rsidRPr="000B28E1" w:rsidRDefault="0009348B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Tel. +39 0121 202900 </w:t>
                </w:r>
              </w:p>
              <w:p w:rsidR="0009348B" w:rsidRPr="000B28E1" w:rsidRDefault="0009348B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E-mail: </w:t>
                </w:r>
                <w:hyperlink r:id="rId11" w:history="1">
                  <w:r w:rsidRPr="000B28E1">
                    <w:rPr>
                      <w:rStyle w:val="Collegamentoipertestuale"/>
                      <w:sz w:val="18"/>
                      <w:szCs w:val="18"/>
                    </w:rPr>
                    <w:t>info@quesite.it</w:t>
                  </w:r>
                </w:hyperlink>
              </w:p>
              <w:p w:rsidR="0009348B" w:rsidRDefault="0009348B" w:rsidP="005F4184">
                <w:pPr>
                  <w:pStyle w:val="Nessunaspaziatura"/>
                </w:pPr>
                <w:r w:rsidRPr="000B28E1">
                  <w:rPr>
                    <w:sz w:val="18"/>
                    <w:szCs w:val="18"/>
                  </w:rPr>
                  <w:t xml:space="preserve">URL: </w:t>
                </w:r>
                <w:hyperlink r:id="rId12" w:history="1">
                  <w:r w:rsidRPr="000B28E1">
                    <w:rPr>
                      <w:rStyle w:val="Collegamentoipertestuale"/>
                      <w:sz w:val="18"/>
                      <w:szCs w:val="18"/>
                    </w:rPr>
                    <w:t>www.quesite.it</w:t>
                  </w:r>
                </w:hyperlink>
                <w:r>
                  <w:t xml:space="preserve"> </w:t>
                </w:r>
              </w:p>
              <w:p w:rsidR="0009348B" w:rsidRDefault="0009348B" w:rsidP="005F4184">
                <w:pPr>
                  <w:pStyle w:val="Nessunaspaziatura"/>
                </w:pPr>
              </w:p>
              <w:p w:rsidR="0009348B" w:rsidRDefault="0009348B" w:rsidP="005F4184">
                <w:pPr>
                  <w:pStyle w:val="Nessunaspaziatura"/>
                </w:pPr>
                <w:r>
                  <w:t xml:space="preserve">       </w:t>
                </w: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3FE0D131" wp14:editId="2EC623BC">
                      <wp:extent cx="652145" cy="652145"/>
                      <wp:effectExtent l="0" t="0" r="0" b="0"/>
                      <wp:docPr id="8" name="Immagine 8" descr="Globe_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 descr="Globe_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2145" cy="652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9348B" w:rsidRDefault="0009348B" w:rsidP="005F4184">
                <w:pPr>
                  <w:pStyle w:val="Pidipagina"/>
                  <w:rPr>
                    <w:rFonts w:ascii="Calibri" w:hAnsi="Calibri"/>
                    <w:b/>
                    <w:sz w:val="18"/>
                    <w:szCs w:val="18"/>
                  </w:rPr>
                </w:pPr>
              </w:p>
              <w:p w:rsidR="0009348B" w:rsidRPr="003E1C63" w:rsidRDefault="0009348B" w:rsidP="005F4184">
                <w:pPr>
                  <w:pStyle w:val="Pidipagina"/>
                  <w:rPr>
                    <w:rFonts w:ascii="Calibri" w:hAnsi="Calibri"/>
                    <w:b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sz w:val="18"/>
                    <w:szCs w:val="18"/>
                  </w:rPr>
                  <w:t xml:space="preserve">              </w:t>
                </w:r>
                <w:r w:rsidRPr="003E1C63">
                  <w:rPr>
                    <w:rFonts w:ascii="Calibri" w:hAnsi="Calibri"/>
                    <w:b/>
                    <w:sz w:val="18"/>
                    <w:szCs w:val="18"/>
                  </w:rPr>
                  <w:t>N. 1790</w:t>
                </w:r>
              </w:p>
              <w:p w:rsidR="0009348B" w:rsidRDefault="0009348B" w:rsidP="005F4184">
                <w:pPr>
                  <w:pStyle w:val="Nessunaspaziatura"/>
                </w:pPr>
                <w:r>
                  <w:rPr>
                    <w:rFonts w:ascii="Calibri" w:hAnsi="Calibri"/>
                    <w:b/>
                    <w:sz w:val="18"/>
                    <w:szCs w:val="18"/>
                  </w:rPr>
                  <w:t xml:space="preserve"> </w:t>
                </w:r>
                <w:r w:rsidRPr="003E1C63">
                  <w:rPr>
                    <w:rFonts w:ascii="Calibri" w:hAnsi="Calibri"/>
                    <w:b/>
                    <w:sz w:val="18"/>
                    <w:szCs w:val="18"/>
                  </w:rPr>
                  <w:t>UNI EN ISO 9001:2008</w:t>
                </w:r>
              </w:p>
              <w:p w:rsidR="0009348B" w:rsidRDefault="0009348B" w:rsidP="005F4184">
                <w:pPr>
                  <w:pStyle w:val="Nessunaspaziatura"/>
                </w:pPr>
              </w:p>
              <w:p w:rsidR="0009348B" w:rsidRDefault="0009348B" w:rsidP="005F4184">
                <w:pPr>
                  <w:pStyle w:val="Nessunaspaziatura"/>
                </w:pPr>
              </w:p>
              <w:p w:rsidR="0009348B" w:rsidRDefault="0009348B" w:rsidP="005F4184">
                <w:pPr>
                  <w:pStyle w:val="Nessunaspaziatura"/>
                </w:pPr>
              </w:p>
            </w:tc>
            <w:tc>
              <w:tcPr>
                <w:tcW w:w="6310" w:type="dxa"/>
                <w:gridSpan w:val="2"/>
                <w:tcBorders>
                  <w:top w:val="single" w:sz="18" w:space="0" w:color="808080" w:themeColor="background1" w:themeShade="80"/>
                </w:tcBorders>
              </w:tcPr>
              <w:p w:rsidR="0009348B" w:rsidRPr="0009348B" w:rsidRDefault="0009348B" w:rsidP="0009348B">
                <w:pPr>
                  <w:spacing w:after="0" w:line="240" w:lineRule="auto"/>
                  <w:jc w:val="right"/>
                </w:pPr>
                <w:r>
                  <w:rPr>
                    <w:rFonts w:eastAsiaTheme="majorEastAsia" w:cstheme="majorBidi"/>
                    <w:noProof/>
                  </w:rPr>
                  <w:t>Scenario di evento per rischio connesso a vie e sistemi di trasporto</w:t>
                </w:r>
                <w:bookmarkStart w:id="0" w:name="_GoBack"/>
                <w:bookmarkEnd w:id="0"/>
              </w:p>
            </w:tc>
          </w:tr>
        </w:tbl>
        <w:sdt>
          <w:sdtPr>
            <w:rPr>
              <w:lang w:val="en-US"/>
            </w:rPr>
            <w:id w:val="569694048"/>
            <w:docPartObj>
              <w:docPartGallery w:val="Cover Pages"/>
              <w:docPartUnique/>
            </w:docPartObj>
          </w:sdtPr>
          <w:sdtEndPr>
            <w:rPr>
              <w:lang w:val="it-IT"/>
            </w:rPr>
          </w:sdtEndPr>
          <w:sdtContent>
            <w:p w:rsidR="0056097F" w:rsidRPr="0056097F" w:rsidRDefault="0056097F" w:rsidP="0056097F">
              <w:pPr>
                <w:rPr>
                  <w:lang w:val="en-US"/>
                </w:rPr>
              </w:pPr>
            </w:p>
            <w:p w:rsidR="0056097F" w:rsidRPr="0056097F" w:rsidRDefault="0056097F" w:rsidP="0056097F">
              <w:r w:rsidRPr="0056097F">
                <w:rPr>
                  <w:lang w:val="en-US"/>
                </w:rPr>
                <w:br w:type="page"/>
              </w:r>
            </w:p>
          </w:sdtContent>
        </w:sdt>
        <w:p w:rsidR="0056097F" w:rsidRDefault="0009348B" w:rsidP="0056097F">
          <w:pPr>
            <w:pStyle w:val="Nessunaspaziatura"/>
            <w:jc w:val="right"/>
            <w:rPr>
              <w:rFonts w:eastAsiaTheme="majorEastAsia" w:cstheme="majorBidi"/>
            </w:rPr>
          </w:pPr>
        </w:p>
      </w:sdtContent>
    </w:sdt>
    <w:p w:rsidR="007A509E" w:rsidRPr="00463537" w:rsidRDefault="0039427B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:rsidR="004E121D" w:rsidRPr="00463537" w:rsidRDefault="004E121D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8D7DC3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Default="008D7DC3" w:rsidP="00090B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Default="008D7DC3" w:rsidP="00090B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Default="008D7DC3" w:rsidP="00090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Default="008D7DC3" w:rsidP="00090B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Default="008D7DC3" w:rsidP="00090B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Default="008D7DC3" w:rsidP="00090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326FD4" w:rsidRDefault="008D7DC3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8D7DC3" w:rsidRPr="00326FD4" w:rsidRDefault="008D7DC3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326FD4" w:rsidRDefault="008D7DC3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326FD4" w:rsidRDefault="008D7DC3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8D7DC3" w:rsidRPr="00326FD4" w:rsidRDefault="008D7DC3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326FD4" w:rsidRDefault="008D7DC3" w:rsidP="004E121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DC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D7DC3" w:rsidRPr="00463537" w:rsidRDefault="008D7DC3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D7DC3" w:rsidRPr="00463537" w:rsidRDefault="008D7DC3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:rsidR="004E121D" w:rsidRPr="0039427B" w:rsidRDefault="004E121D" w:rsidP="004E121D">
      <w:pPr>
        <w:spacing w:after="0" w:line="240" w:lineRule="auto"/>
        <w:rPr>
          <w:rFonts w:eastAsia="Times New Roman" w:cs="Times New Roman"/>
        </w:rPr>
      </w:pPr>
      <w:r w:rsidRPr="00640496">
        <w:rPr>
          <w:rFonts w:ascii="Calibri" w:hAnsi="Calibri"/>
          <w:szCs w:val="24"/>
        </w:rPr>
        <w:br w:type="page"/>
      </w:r>
    </w:p>
    <w:p w:rsidR="005A09DC" w:rsidRPr="00326FD4" w:rsidRDefault="005A09DC" w:rsidP="005A09DC">
      <w:pPr>
        <w:pStyle w:val="Titolo1"/>
        <w:rPr>
          <w:rFonts w:ascii="Arial" w:hAnsi="Arial" w:cs="Arial"/>
          <w:color w:val="FF0000"/>
          <w:sz w:val="32"/>
          <w:szCs w:val="36"/>
        </w:rPr>
      </w:pPr>
      <w:bookmarkStart w:id="1" w:name="_Toc278279651"/>
      <w:bookmarkStart w:id="2" w:name="_Toc335233612"/>
      <w:bookmarkStart w:id="3" w:name="_Toc277672246"/>
      <w:bookmarkStart w:id="4" w:name="_Toc278279636"/>
      <w:bookmarkStart w:id="5" w:name="_Toc335233597"/>
      <w:r w:rsidRPr="00326FD4">
        <w:rPr>
          <w:rFonts w:ascii="Arial" w:hAnsi="Arial" w:cs="Arial"/>
          <w:color w:val="FF0000"/>
          <w:sz w:val="32"/>
          <w:szCs w:val="36"/>
        </w:rPr>
        <w:lastRenderedPageBreak/>
        <w:t xml:space="preserve">RISCHIO </w:t>
      </w:r>
      <w:r w:rsidR="00505996" w:rsidRPr="00326FD4">
        <w:rPr>
          <w:rFonts w:ascii="Arial" w:hAnsi="Arial" w:cs="Arial"/>
          <w:color w:val="FF0000"/>
          <w:sz w:val="32"/>
          <w:szCs w:val="36"/>
        </w:rPr>
        <w:t>CONNESSO A VIE E SISTEMI DI TRASPORTO</w:t>
      </w:r>
    </w:p>
    <w:bookmarkEnd w:id="1"/>
    <w:bookmarkEnd w:id="2"/>
    <w:bookmarkEnd w:id="3"/>
    <w:bookmarkEnd w:id="4"/>
    <w:bookmarkEnd w:id="5"/>
    <w:p w:rsidR="003C548B" w:rsidRDefault="003C548B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505996" w:rsidRDefault="00505996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326FD4">
        <w:rPr>
          <w:rFonts w:ascii="Arial" w:hAnsi="Arial" w:cs="Arial"/>
          <w:sz w:val="20"/>
        </w:rPr>
        <w:t>Per quanto riguarda il rischio connesso a vie e sistemi di trasporto, gli incidenti (ferroviari, stradali, aerei) sono di difficile previsione. Da un punto di vista di protezione civile, i maggiori rischi in termini di probabilità, derivano dal trasporto di sostanze pericolose che, nei territori qui considerat</w:t>
      </w:r>
      <w:r w:rsidR="003C548B">
        <w:rPr>
          <w:rFonts w:ascii="Arial" w:hAnsi="Arial" w:cs="Arial"/>
          <w:sz w:val="20"/>
        </w:rPr>
        <w:t>i</w:t>
      </w:r>
      <w:r w:rsidRPr="00326FD4">
        <w:rPr>
          <w:rFonts w:ascii="Arial" w:hAnsi="Arial" w:cs="Arial"/>
          <w:sz w:val="20"/>
        </w:rPr>
        <w:t>, avviene su gomma</w:t>
      </w:r>
      <w:r w:rsidR="003C548B">
        <w:rPr>
          <w:rFonts w:ascii="Arial" w:hAnsi="Arial" w:cs="Arial"/>
          <w:sz w:val="20"/>
        </w:rPr>
        <w:t>.</w:t>
      </w:r>
    </w:p>
    <w:p w:rsidR="003C548B" w:rsidRPr="00326FD4" w:rsidRDefault="003C548B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505996" w:rsidRPr="00326FD4" w:rsidRDefault="00505996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326FD4">
        <w:rPr>
          <w:rFonts w:ascii="Arial" w:hAnsi="Arial" w:cs="Arial"/>
          <w:sz w:val="20"/>
        </w:rPr>
        <w:t>Gli aspetti da analizzare sono pertanto i seguenti:</w:t>
      </w:r>
    </w:p>
    <w:p w:rsidR="00505996" w:rsidRPr="00326FD4" w:rsidRDefault="00505996" w:rsidP="007C7A24">
      <w:pPr>
        <w:pStyle w:val="Rientrocorpodeltesto2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26FD4">
        <w:rPr>
          <w:rFonts w:ascii="Arial" w:hAnsi="Arial" w:cs="Arial"/>
          <w:sz w:val="20"/>
        </w:rPr>
        <w:t>le vie stradali di massima percorrenza, soprattutto di mezzi pesanti;</w:t>
      </w:r>
    </w:p>
    <w:p w:rsidR="00505996" w:rsidRPr="00326FD4" w:rsidRDefault="00505996" w:rsidP="007C7A24">
      <w:pPr>
        <w:pStyle w:val="Rientrocorpodeltesto2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26FD4">
        <w:rPr>
          <w:rFonts w:ascii="Arial" w:hAnsi="Arial" w:cs="Arial"/>
          <w:sz w:val="20"/>
        </w:rPr>
        <w:t xml:space="preserve">un evento connesso ad un incidente ferroviario ha effetti maggiori laddove il convoglio rischia eventualmente di uscire dalla propria sede e impattare contro edifici (abitazioni e/o attività produttive); </w:t>
      </w:r>
    </w:p>
    <w:p w:rsidR="00505996" w:rsidRPr="00326FD4" w:rsidRDefault="00505996" w:rsidP="007C7A24">
      <w:pPr>
        <w:pStyle w:val="Rientrocorpodeltesto2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26FD4">
        <w:rPr>
          <w:rFonts w:ascii="Arial" w:hAnsi="Arial" w:cs="Arial"/>
          <w:sz w:val="20"/>
        </w:rPr>
        <w:t>la conoscenza preventiva della segnaletica che regolamenta il trasporto di sostanze pericolose, su strada e su ferrovia, cosicché gli operatori siano in grado di individuare immediatamente il tipo di sostanza coinvolta e intraprendere le prime misure di protezione;</w:t>
      </w:r>
    </w:p>
    <w:p w:rsidR="00505996" w:rsidRPr="00326FD4" w:rsidRDefault="00505996" w:rsidP="007C7A24">
      <w:pPr>
        <w:pStyle w:val="Rientrocorpodeltesto2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26FD4">
        <w:rPr>
          <w:rFonts w:ascii="Arial" w:hAnsi="Arial" w:cs="Arial"/>
          <w:sz w:val="20"/>
        </w:rPr>
        <w:t>in caso di fuoriuscita (da automezzi o da treni coinvolti in un eventuale incidente) di inquinamenti superficiali che possano confluire nel reticolo idrografico naturale o artificiale, è da considerare il possibile</w:t>
      </w:r>
      <w:r w:rsidR="00326FD4" w:rsidRPr="00326FD4">
        <w:rPr>
          <w:rFonts w:ascii="Arial" w:hAnsi="Arial" w:cs="Arial"/>
          <w:sz w:val="20"/>
        </w:rPr>
        <w:t xml:space="preserve"> interessamento delle acque </w:t>
      </w:r>
      <w:r w:rsidRPr="00326FD4">
        <w:rPr>
          <w:rFonts w:ascii="Arial" w:hAnsi="Arial" w:cs="Arial"/>
          <w:sz w:val="20"/>
        </w:rPr>
        <w:t>dei canali e dei pozzi attivi;</w:t>
      </w:r>
    </w:p>
    <w:p w:rsidR="00505996" w:rsidRDefault="00505996" w:rsidP="007C7A24">
      <w:pPr>
        <w:pStyle w:val="Rientrocorpodeltesto2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326FD4">
        <w:rPr>
          <w:rFonts w:ascii="Arial" w:hAnsi="Arial" w:cs="Arial"/>
          <w:sz w:val="20"/>
        </w:rPr>
        <w:t>per evitare un inquinamento diffuso è importante conoscere l’ubicazione di pozzi e sorgenti, oltre che la soggiacenza delle falde superficiali per conoscere le potenziali vie di contaminazione in caso di rilascio di sostanze nocive nel terreno.</w:t>
      </w:r>
    </w:p>
    <w:p w:rsidR="003C548B" w:rsidRPr="00326FD4" w:rsidRDefault="003C548B" w:rsidP="007C7A24">
      <w:pPr>
        <w:pStyle w:val="Rientrocorpodeltesto2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</w:rPr>
      </w:pPr>
    </w:p>
    <w:p w:rsidR="00505996" w:rsidRDefault="00505996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326FD4">
        <w:rPr>
          <w:rFonts w:ascii="Arial" w:hAnsi="Arial" w:cs="Arial"/>
          <w:sz w:val="20"/>
        </w:rPr>
        <w:t xml:space="preserve">Per quanto riguarda l’analisi del territorio </w:t>
      </w:r>
      <w:r w:rsidR="003C548B">
        <w:rPr>
          <w:rFonts w:ascii="Arial" w:hAnsi="Arial" w:cs="Arial"/>
          <w:sz w:val="20"/>
        </w:rPr>
        <w:t>dell’Unione Montana</w:t>
      </w:r>
      <w:r w:rsidRPr="00326FD4">
        <w:rPr>
          <w:rFonts w:ascii="Arial" w:hAnsi="Arial" w:cs="Arial"/>
          <w:sz w:val="20"/>
        </w:rPr>
        <w:t>, l’area è attraversata da alcune direttrici principali, la cui competenza ricade a soggetti differenti. Alcune di queste vie sono state indicate come vie di perimetrazione, mentre altre sono state individuate come le principali direttrici d</w:t>
      </w:r>
      <w:r w:rsidR="00326FD4" w:rsidRPr="00326FD4">
        <w:rPr>
          <w:rFonts w:ascii="Arial" w:hAnsi="Arial" w:cs="Arial"/>
          <w:sz w:val="20"/>
        </w:rPr>
        <w:t>i</w:t>
      </w:r>
      <w:r w:rsidRPr="00326FD4">
        <w:rPr>
          <w:rFonts w:ascii="Arial" w:hAnsi="Arial" w:cs="Arial"/>
          <w:sz w:val="20"/>
        </w:rPr>
        <w:t xml:space="preserve"> acces</w:t>
      </w:r>
      <w:r w:rsidR="00326FD4" w:rsidRPr="00326FD4">
        <w:rPr>
          <w:rFonts w:ascii="Arial" w:hAnsi="Arial" w:cs="Arial"/>
          <w:sz w:val="20"/>
        </w:rPr>
        <w:t>s</w:t>
      </w:r>
      <w:r w:rsidRPr="00326FD4">
        <w:rPr>
          <w:rFonts w:ascii="Arial" w:hAnsi="Arial" w:cs="Arial"/>
          <w:sz w:val="20"/>
        </w:rPr>
        <w:t>o.</w:t>
      </w:r>
    </w:p>
    <w:p w:rsidR="003C548B" w:rsidRDefault="003C548B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3C548B" w:rsidRDefault="003C548B" w:rsidP="003C548B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proofErr w:type="gramStart"/>
      <w:r w:rsidRPr="002778B2">
        <w:rPr>
          <w:rFonts w:ascii="Arial" w:hAnsi="Arial" w:cs="Arial"/>
          <w:sz w:val="20"/>
          <w:szCs w:val="20"/>
        </w:rPr>
        <w:t>E’</w:t>
      </w:r>
      <w:proofErr w:type="gramEnd"/>
      <w:r w:rsidRPr="002778B2">
        <w:rPr>
          <w:rFonts w:ascii="Arial" w:hAnsi="Arial" w:cs="Arial"/>
          <w:sz w:val="20"/>
          <w:szCs w:val="20"/>
        </w:rPr>
        <w:t xml:space="preserve"> importante conoscere le principali direttrici su cui transita la maggior parte del traffico, soprattutto pesante:</w:t>
      </w:r>
    </w:p>
    <w:p w:rsidR="00714FB5" w:rsidRPr="002778B2" w:rsidRDefault="00714FB5" w:rsidP="003C548B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693"/>
        <w:gridCol w:w="3338"/>
      </w:tblGrid>
      <w:tr w:rsidR="003C548B" w:rsidRPr="00D777B8" w:rsidTr="00090B84">
        <w:tc>
          <w:tcPr>
            <w:tcW w:w="3544" w:type="dxa"/>
            <w:tcBorders>
              <w:bottom w:val="single" w:sz="4" w:space="0" w:color="auto"/>
            </w:tcBorders>
            <w:shd w:val="clear" w:color="auto" w:fill="D9D9D9"/>
          </w:tcPr>
          <w:p w:rsidR="003C548B" w:rsidRPr="00D777B8" w:rsidRDefault="003C548B" w:rsidP="00090B84">
            <w:pPr>
              <w:pStyle w:val="Corpotesto"/>
              <w:spacing w:line="320" w:lineRule="exact"/>
              <w:jc w:val="center"/>
              <w:rPr>
                <w:rFonts w:ascii="Calibri" w:hAnsi="Calibri"/>
                <w:b/>
                <w:sz w:val="20"/>
              </w:rPr>
            </w:pPr>
            <w:r w:rsidRPr="00D777B8">
              <w:rPr>
                <w:rFonts w:ascii="Calibri" w:hAnsi="Calibri"/>
                <w:b/>
                <w:sz w:val="20"/>
              </w:rPr>
              <w:t>NOME STRADA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</w:tcPr>
          <w:p w:rsidR="003C548B" w:rsidRPr="00D777B8" w:rsidRDefault="003C548B" w:rsidP="00090B84">
            <w:pPr>
              <w:pStyle w:val="Corpotesto"/>
              <w:spacing w:line="320" w:lineRule="exact"/>
              <w:jc w:val="center"/>
              <w:rPr>
                <w:rFonts w:ascii="Calibri" w:hAnsi="Calibri"/>
                <w:b/>
                <w:sz w:val="20"/>
              </w:rPr>
            </w:pPr>
            <w:r w:rsidRPr="00D777B8">
              <w:rPr>
                <w:rFonts w:ascii="Calibri" w:hAnsi="Calibri"/>
                <w:b/>
                <w:sz w:val="20"/>
              </w:rPr>
              <w:t>COMPETENZA</w:t>
            </w:r>
          </w:p>
        </w:tc>
        <w:tc>
          <w:tcPr>
            <w:tcW w:w="3338" w:type="dxa"/>
            <w:tcBorders>
              <w:bottom w:val="single" w:sz="4" w:space="0" w:color="auto"/>
            </w:tcBorders>
            <w:shd w:val="clear" w:color="auto" w:fill="D9D9D9"/>
          </w:tcPr>
          <w:p w:rsidR="003C548B" w:rsidRPr="00D777B8" w:rsidRDefault="003C548B" w:rsidP="00090B84">
            <w:pPr>
              <w:pStyle w:val="Corpotesto"/>
              <w:spacing w:line="320" w:lineRule="exact"/>
              <w:jc w:val="center"/>
              <w:rPr>
                <w:rFonts w:ascii="Calibri" w:hAnsi="Calibri"/>
                <w:b/>
                <w:sz w:val="20"/>
              </w:rPr>
            </w:pPr>
            <w:r w:rsidRPr="00D777B8">
              <w:rPr>
                <w:rFonts w:ascii="Calibri" w:hAnsi="Calibri"/>
                <w:b/>
                <w:sz w:val="20"/>
              </w:rPr>
              <w:t>NOTE</w:t>
            </w:r>
          </w:p>
        </w:tc>
      </w:tr>
      <w:tr w:rsidR="00090B84" w:rsidRPr="00D777B8" w:rsidTr="00090B84">
        <w:tc>
          <w:tcPr>
            <w:tcW w:w="3544" w:type="dxa"/>
            <w:tcBorders>
              <w:right w:val="nil"/>
            </w:tcBorders>
            <w:shd w:val="clear" w:color="auto" w:fill="auto"/>
          </w:tcPr>
          <w:p w:rsidR="00090B84" w:rsidRPr="00090B84" w:rsidRDefault="00090B84" w:rsidP="00090B84">
            <w:pPr>
              <w:pStyle w:val="Corpotesto"/>
              <w:spacing w:after="0" w:line="240" w:lineRule="auto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auto"/>
          </w:tcPr>
          <w:p w:rsidR="00090B84" w:rsidRPr="00090B84" w:rsidRDefault="00090B84" w:rsidP="00090B84">
            <w:pPr>
              <w:pStyle w:val="Corpotesto"/>
              <w:spacing w:after="0" w:line="240" w:lineRule="auto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3338" w:type="dxa"/>
            <w:tcBorders>
              <w:left w:val="nil"/>
            </w:tcBorders>
            <w:shd w:val="clear" w:color="auto" w:fill="auto"/>
          </w:tcPr>
          <w:p w:rsidR="00090B84" w:rsidRPr="00090B84" w:rsidRDefault="00090B84" w:rsidP="00090B84">
            <w:pPr>
              <w:pStyle w:val="Corpotesto"/>
              <w:spacing w:after="0" w:line="240" w:lineRule="auto"/>
              <w:rPr>
                <w:rFonts w:ascii="Calibri" w:hAnsi="Calibri"/>
                <w:sz w:val="20"/>
                <w:highlight w:val="yellow"/>
              </w:rPr>
            </w:pPr>
          </w:p>
        </w:tc>
      </w:tr>
      <w:tr w:rsidR="00714FB5" w:rsidRPr="00D777B8" w:rsidTr="00090B84">
        <w:trPr>
          <w:trHeight w:val="337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 xml:space="preserve">S.P. 156 </w:t>
            </w:r>
            <w:r w:rsidRPr="00090B84">
              <w:t>di Lusernetta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714FB5">
              <w:rPr>
                <w:rFonts w:ascii="Calibri" w:hAnsi="Calibri"/>
                <w:sz w:val="20"/>
              </w:rPr>
              <w:t>Luserna - Lusernetta Bibiana - Cavour</w:t>
            </w:r>
          </w:p>
        </w:tc>
      </w:tr>
      <w:tr w:rsidR="00714FB5" w:rsidRPr="00D777B8" w:rsidTr="00090B84">
        <w:trPr>
          <w:trHeight w:val="337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>S.P. 157 di Bibiana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 xml:space="preserve">dalla p161 - Bibiana </w:t>
            </w:r>
            <w:r w:rsidR="00090B84">
              <w:rPr>
                <w:rFonts w:ascii="Calibri" w:hAnsi="Calibri"/>
                <w:sz w:val="20"/>
              </w:rPr>
              <w:t>–</w:t>
            </w:r>
            <w:r w:rsidRPr="00090B84">
              <w:rPr>
                <w:rFonts w:ascii="Calibri" w:hAnsi="Calibri"/>
                <w:sz w:val="20"/>
              </w:rPr>
              <w:t xml:space="preserve"> </w:t>
            </w:r>
            <w:r w:rsidR="00090B84">
              <w:rPr>
                <w:rFonts w:ascii="Calibri" w:hAnsi="Calibri"/>
                <w:sz w:val="20"/>
              </w:rPr>
              <w:t>Bagnolo P.te</w:t>
            </w:r>
          </w:p>
        </w:tc>
      </w:tr>
      <w:tr w:rsidR="00714FB5" w:rsidRPr="00D777B8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>S.P. 161 della Val Pellice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Pinerolo – Torre Pellice – Bobbio Pellice - Villanova</w:t>
            </w:r>
          </w:p>
        </w:tc>
      </w:tr>
      <w:tr w:rsidR="00714FB5" w:rsidRPr="00640496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>S.P. 162 di Rorà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Luserna – Rorà (Capoluogo)</w:t>
            </w:r>
          </w:p>
        </w:tc>
      </w:tr>
      <w:tr w:rsidR="00714FB5" w:rsidRPr="00640496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>S.P. 163 di Angrogna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Luserna - Angrogna (capoluogo)</w:t>
            </w:r>
          </w:p>
        </w:tc>
      </w:tr>
      <w:tr w:rsidR="00714FB5" w:rsidRPr="00640496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>S.P. 164 di San Secondo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Pinerolo – San Secondo - Bricherasio</w:t>
            </w:r>
          </w:p>
        </w:tc>
      </w:tr>
      <w:tr w:rsidR="00714FB5" w:rsidRPr="00640496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>S.P. 165 di Prarostino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Prarostino – San Secondo – Osasco</w:t>
            </w:r>
          </w:p>
        </w:tc>
      </w:tr>
      <w:tr w:rsidR="00714FB5" w:rsidRPr="00640496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>S.P. 166 della Val Chisone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San Secondo - Porte</w:t>
            </w:r>
          </w:p>
        </w:tc>
      </w:tr>
      <w:tr w:rsidR="00714FB5" w:rsidRPr="00640496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</w:rPr>
              <w:t>S.P. 167 della Val Lemina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Pinerolo – San Pietro Val Lemina</w:t>
            </w:r>
          </w:p>
        </w:tc>
      </w:tr>
      <w:tr w:rsidR="00714FB5" w:rsidRPr="00640496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>S.P. 195 di Roletto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Frossasco – Roletto - Riva</w:t>
            </w:r>
          </w:p>
        </w:tc>
      </w:tr>
      <w:tr w:rsidR="00714FB5" w:rsidRPr="00640496" w:rsidTr="00090B84">
        <w:trPr>
          <w:trHeight w:val="336"/>
        </w:trPr>
        <w:tc>
          <w:tcPr>
            <w:tcW w:w="3544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</w:rPr>
            </w:pPr>
            <w:r w:rsidRPr="00090B84">
              <w:rPr>
                <w:rFonts w:ascii="Calibri" w:hAnsi="Calibri"/>
              </w:rPr>
              <w:t xml:space="preserve">S.P. 589 </w:t>
            </w:r>
            <w:r w:rsidR="00090B84" w:rsidRPr="00090B84">
              <w:rPr>
                <w:rFonts w:ascii="Calibri" w:hAnsi="Calibri"/>
              </w:rPr>
              <w:t>dei laghi di Avigliana</w:t>
            </w:r>
          </w:p>
        </w:tc>
        <w:tc>
          <w:tcPr>
            <w:tcW w:w="2693" w:type="dxa"/>
            <w:vAlign w:val="center"/>
          </w:tcPr>
          <w:p w:rsidR="00714FB5" w:rsidRPr="00090B84" w:rsidRDefault="00714FB5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 w:rsidRPr="00090B84">
              <w:rPr>
                <w:rFonts w:ascii="Calibri" w:hAnsi="Calibri"/>
                <w:sz w:val="20"/>
              </w:rPr>
              <w:t>Città Metropolitana di Torino</w:t>
            </w:r>
          </w:p>
        </w:tc>
        <w:tc>
          <w:tcPr>
            <w:tcW w:w="3338" w:type="dxa"/>
          </w:tcPr>
          <w:p w:rsidR="00714FB5" w:rsidRPr="00D777B8" w:rsidRDefault="00090B84" w:rsidP="00714FB5">
            <w:pPr>
              <w:pStyle w:val="Corpotesto"/>
              <w:spacing w:after="0" w:line="240" w:lineRule="auto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Ex S.S. Trana – Piossasco - Pinerolo</w:t>
            </w:r>
          </w:p>
        </w:tc>
      </w:tr>
    </w:tbl>
    <w:p w:rsidR="003C548B" w:rsidRDefault="003C548B" w:rsidP="003C548B">
      <w:pPr>
        <w:spacing w:line="320" w:lineRule="exact"/>
        <w:jc w:val="both"/>
        <w:rPr>
          <w:rFonts w:ascii="Calibri" w:hAnsi="Calibri"/>
          <w:noProof/>
          <w:sz w:val="24"/>
          <w:szCs w:val="24"/>
          <w:highlight w:val="yellow"/>
        </w:rPr>
      </w:pPr>
    </w:p>
    <w:p w:rsidR="00090B84" w:rsidRPr="00BC177D" w:rsidRDefault="00090B84" w:rsidP="00BC177D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BC177D">
        <w:rPr>
          <w:rFonts w:ascii="Arial" w:hAnsi="Arial" w:cs="Arial"/>
          <w:sz w:val="20"/>
        </w:rPr>
        <w:t xml:space="preserve">Per quanto riguarda la viabilità occorre evidenziare </w:t>
      </w:r>
      <w:r w:rsidR="00BC177D">
        <w:rPr>
          <w:rFonts w:ascii="Arial" w:hAnsi="Arial" w:cs="Arial"/>
          <w:sz w:val="20"/>
        </w:rPr>
        <w:t xml:space="preserve">come </w:t>
      </w:r>
      <w:r w:rsidRPr="00BC177D">
        <w:rPr>
          <w:rFonts w:ascii="Arial" w:hAnsi="Arial" w:cs="Arial"/>
          <w:sz w:val="20"/>
        </w:rPr>
        <w:t>alcuni comuni potrebbero risultare isolati dagli altri se si verificassero problematiche sull’unica strada che li raggiunge; questo vale per i comuni di Bobbio e Villar Pellice (serviti dalla S.P. 161) e per il Comune di Rorà (S.P. 162).</w:t>
      </w:r>
    </w:p>
    <w:p w:rsidR="00BC177D" w:rsidRDefault="00BC177D" w:rsidP="00BC177D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090B84" w:rsidRPr="00BC177D" w:rsidRDefault="00090B84" w:rsidP="00BC177D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4E052D">
        <w:rPr>
          <w:rFonts w:ascii="Arial" w:hAnsi="Arial" w:cs="Arial"/>
          <w:b/>
          <w:sz w:val="20"/>
        </w:rPr>
        <w:t>Rorà</w:t>
      </w:r>
      <w:r w:rsidRPr="00BC177D">
        <w:rPr>
          <w:rFonts w:ascii="Arial" w:hAnsi="Arial" w:cs="Arial"/>
          <w:sz w:val="20"/>
        </w:rPr>
        <w:t xml:space="preserve"> ha la possibilità di una viabilità alternativa utilizzando la strada che dal capoluogo sale a Pian Prà e scende nell’inverso del Comune di Torre Pellice per portarsi sulla sx orografica mediante il nuovo ponte dell’Albertenga </w:t>
      </w:r>
      <w:r w:rsidR="00FD6C23" w:rsidRPr="00BC177D">
        <w:rPr>
          <w:rFonts w:ascii="Arial" w:hAnsi="Arial" w:cs="Arial"/>
          <w:sz w:val="20"/>
        </w:rPr>
        <w:t>(in fase di realizzazione – gennaio 2018).</w:t>
      </w:r>
    </w:p>
    <w:p w:rsidR="00FD6C23" w:rsidRPr="00BC177D" w:rsidRDefault="00FD6C23" w:rsidP="00BC177D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BC177D">
        <w:rPr>
          <w:rFonts w:ascii="Arial" w:hAnsi="Arial" w:cs="Arial"/>
          <w:sz w:val="20"/>
        </w:rPr>
        <w:t xml:space="preserve">Si tratta di una strada asfaltata sino allo Loc. Pian Prà (già Comune di Torre Pellice), sterrata sino a poco prima delle case di Pra le Brue, e poi nuovamente asfaltata; la strada non è aperta in periodo invernale. </w:t>
      </w:r>
    </w:p>
    <w:p w:rsidR="00FD6C23" w:rsidRPr="00BC177D" w:rsidRDefault="00FD6C23" w:rsidP="00BC177D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BC177D">
        <w:rPr>
          <w:rFonts w:ascii="Arial" w:hAnsi="Arial" w:cs="Arial"/>
          <w:sz w:val="20"/>
        </w:rPr>
        <w:t>La stessa strada è stata utilizzata per un certo periodo anche dagli abitanti della zona dell’Inverso Rolandi di Torre Pellice per recarsi a Torre pellcie via Rorà – Luserna San Giovanni con il ponte dell’Albertenga danneggiato (e la viabilità lungo il Pellice non utilizzabile)</w:t>
      </w:r>
    </w:p>
    <w:p w:rsidR="00BC177D" w:rsidRPr="00BC177D" w:rsidRDefault="00BC177D" w:rsidP="00BC177D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BC177D">
        <w:rPr>
          <w:rFonts w:ascii="Arial" w:hAnsi="Arial" w:cs="Arial"/>
          <w:sz w:val="20"/>
        </w:rPr>
        <w:lastRenderedPageBreak/>
        <w:t>Si tratta quindi una strada secondaria ma di estrema importanza per un utilizzo alternativo in caso di evento di protezione civile</w:t>
      </w:r>
    </w:p>
    <w:p w:rsidR="004E052D" w:rsidRDefault="004E052D" w:rsidP="004E052D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b/>
          <w:sz w:val="20"/>
        </w:rPr>
      </w:pPr>
    </w:p>
    <w:p w:rsidR="00BC177D" w:rsidRPr="004E052D" w:rsidRDefault="00BC177D" w:rsidP="004E052D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4E052D">
        <w:rPr>
          <w:rFonts w:ascii="Arial" w:hAnsi="Arial" w:cs="Arial"/>
          <w:b/>
          <w:sz w:val="20"/>
        </w:rPr>
        <w:t>Villar Pellice</w:t>
      </w:r>
      <w:r w:rsidRPr="004E052D">
        <w:rPr>
          <w:rFonts w:ascii="Arial" w:hAnsi="Arial" w:cs="Arial"/>
          <w:sz w:val="20"/>
        </w:rPr>
        <w:t xml:space="preserve"> e </w:t>
      </w:r>
      <w:r w:rsidRPr="004E052D">
        <w:rPr>
          <w:rFonts w:ascii="Arial" w:hAnsi="Arial" w:cs="Arial"/>
          <w:b/>
          <w:sz w:val="20"/>
        </w:rPr>
        <w:t>Bobbio Pellice</w:t>
      </w:r>
      <w:r w:rsidRPr="004E052D">
        <w:rPr>
          <w:rFonts w:ascii="Arial" w:hAnsi="Arial" w:cs="Arial"/>
          <w:sz w:val="20"/>
        </w:rPr>
        <w:t xml:space="preserve"> si troverebbero isolate in caso di interruzione della viabilità tra Villar Pellice e Torre Pellice (situazione già verificatesi), in quanto la viabilità principale è situata in </w:t>
      </w:r>
      <w:proofErr w:type="spellStart"/>
      <w:r w:rsidRPr="004E052D">
        <w:rPr>
          <w:rFonts w:ascii="Arial" w:hAnsi="Arial" w:cs="Arial"/>
          <w:sz w:val="20"/>
        </w:rPr>
        <w:t>sx</w:t>
      </w:r>
      <w:proofErr w:type="spellEnd"/>
      <w:r w:rsidRPr="004E052D">
        <w:rPr>
          <w:rFonts w:ascii="Arial" w:hAnsi="Arial" w:cs="Arial"/>
          <w:sz w:val="20"/>
        </w:rPr>
        <w:t xml:space="preserve"> orografica e non esiste attualmente una strada percorribile con idonei mezzi di soccorso in dx orografica.</w:t>
      </w:r>
    </w:p>
    <w:p w:rsidR="003C548B" w:rsidRDefault="004E052D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Sarebbe quindi auspicabile un miglioramento della viabilità forestale già esistente</w:t>
      </w:r>
      <w:r w:rsidR="008F2437">
        <w:rPr>
          <w:rFonts w:ascii="Arial" w:hAnsi="Arial" w:cs="Arial"/>
          <w:sz w:val="20"/>
        </w:rPr>
        <w:t xml:space="preserve">, e la realizzazione di un nuovo tratto che possa così </w:t>
      </w:r>
      <w:r>
        <w:rPr>
          <w:rFonts w:ascii="Arial" w:hAnsi="Arial" w:cs="Arial"/>
          <w:sz w:val="20"/>
        </w:rPr>
        <w:t>uni</w:t>
      </w:r>
      <w:r w:rsidR="008F2437">
        <w:rPr>
          <w:rFonts w:ascii="Arial" w:hAnsi="Arial" w:cs="Arial"/>
          <w:sz w:val="20"/>
        </w:rPr>
        <w:t>re</w:t>
      </w:r>
      <w:r>
        <w:rPr>
          <w:rFonts w:ascii="Arial" w:hAnsi="Arial" w:cs="Arial"/>
          <w:sz w:val="20"/>
        </w:rPr>
        <w:t xml:space="preserve"> i comuni di Villar Pellice e Torre Pellice in dx orografica, rendendola transitabile in caso di necessità ai mezzi di soccorso e di trasporto merci/persone.</w:t>
      </w:r>
    </w:p>
    <w:p w:rsidR="008F2437" w:rsidRDefault="008F2437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Tale strada diventerebbe inoltre il percorso privilegiato per il bestiame (ovino – caprino – bovino) che si sposta dai comuni di fondovalle alle zone di alta valle per la stagione di alpeggio, liberando quindi da tutte le problematiche di traffico la SP 161 e i rispettivi centri abitati di Torre Pellice e Villar Pellice, tenendo in considerazione il fat</w:t>
      </w:r>
      <w:r w:rsidR="00C45C8C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>o che sovente tali spostamenti avvengono nei giorni festivi.</w:t>
      </w:r>
    </w:p>
    <w:p w:rsidR="004E052D" w:rsidRDefault="004E052D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4E052D" w:rsidRDefault="004E052D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DD507F">
        <w:rPr>
          <w:rFonts w:ascii="Arial" w:hAnsi="Arial" w:cs="Arial"/>
          <w:sz w:val="20"/>
        </w:rPr>
        <w:t>Altre situazioni puntuali sono affrontate a livello comunale</w:t>
      </w:r>
      <w:r w:rsidR="00A558C4">
        <w:rPr>
          <w:rFonts w:ascii="Arial" w:hAnsi="Arial" w:cs="Arial"/>
          <w:sz w:val="20"/>
        </w:rPr>
        <w:t xml:space="preserve">, come per esempio il ponte degli Appiotti sul torrente Angrogna, in Comune di </w:t>
      </w:r>
      <w:r w:rsidR="00A558C4">
        <w:rPr>
          <w:rFonts w:ascii="Arial" w:hAnsi="Arial" w:cs="Arial"/>
          <w:b/>
          <w:sz w:val="20"/>
        </w:rPr>
        <w:t>Torre</w:t>
      </w:r>
      <w:r w:rsidR="00A558C4" w:rsidRPr="004E052D">
        <w:rPr>
          <w:rFonts w:ascii="Arial" w:hAnsi="Arial" w:cs="Arial"/>
          <w:b/>
          <w:sz w:val="20"/>
        </w:rPr>
        <w:t xml:space="preserve"> Pellice</w:t>
      </w:r>
      <w:r w:rsidR="00A558C4">
        <w:rPr>
          <w:rFonts w:ascii="Arial" w:hAnsi="Arial" w:cs="Arial"/>
          <w:b/>
          <w:sz w:val="20"/>
        </w:rPr>
        <w:t xml:space="preserve"> </w:t>
      </w:r>
      <w:r w:rsidR="00A558C4" w:rsidRPr="00A558C4">
        <w:rPr>
          <w:rFonts w:ascii="Arial" w:hAnsi="Arial" w:cs="Arial"/>
          <w:sz w:val="20"/>
        </w:rPr>
        <w:t>che è l’unico ponte che permette senza grossi limiti di carico l’accesso all’alta valle</w:t>
      </w:r>
      <w:r w:rsidR="00A558C4">
        <w:rPr>
          <w:rFonts w:ascii="Arial" w:hAnsi="Arial" w:cs="Arial"/>
          <w:sz w:val="20"/>
        </w:rPr>
        <w:t xml:space="preserve"> in quanto la viabilità alternativa (in attesa della realizzazione del nuovo ponte dell’</w:t>
      </w:r>
      <w:proofErr w:type="spellStart"/>
      <w:r w:rsidR="00A558C4">
        <w:rPr>
          <w:rFonts w:ascii="Arial" w:hAnsi="Arial" w:cs="Arial"/>
          <w:sz w:val="20"/>
        </w:rPr>
        <w:t>Albertenga</w:t>
      </w:r>
      <w:proofErr w:type="spellEnd"/>
      <w:r w:rsidR="00A558C4">
        <w:rPr>
          <w:rFonts w:ascii="Arial" w:hAnsi="Arial" w:cs="Arial"/>
          <w:sz w:val="20"/>
        </w:rPr>
        <w:t xml:space="preserve">) transita attualmente sul ponte </w:t>
      </w:r>
      <w:proofErr w:type="spellStart"/>
      <w:r w:rsidR="00A558C4">
        <w:rPr>
          <w:rFonts w:ascii="Arial" w:hAnsi="Arial" w:cs="Arial"/>
          <w:sz w:val="20"/>
        </w:rPr>
        <w:t>Blancio</w:t>
      </w:r>
      <w:proofErr w:type="spellEnd"/>
      <w:r w:rsidR="00A558C4">
        <w:rPr>
          <w:rFonts w:ascii="Arial" w:hAnsi="Arial" w:cs="Arial"/>
          <w:sz w:val="20"/>
        </w:rPr>
        <w:t xml:space="preserve"> che ha una limitazione di portata a 4.5 t)</w:t>
      </w:r>
    </w:p>
    <w:p w:rsidR="00A558C4" w:rsidRDefault="00A558C4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3C548B" w:rsidRPr="00326FD4" w:rsidRDefault="003C548B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505996" w:rsidRDefault="00505996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03D11">
        <w:rPr>
          <w:rFonts w:ascii="Arial" w:hAnsi="Arial" w:cs="Arial"/>
          <w:sz w:val="20"/>
          <w:szCs w:val="20"/>
        </w:rPr>
        <w:t xml:space="preserve">Il </w:t>
      </w:r>
      <w:r w:rsidR="003C548B">
        <w:rPr>
          <w:rFonts w:ascii="Arial" w:hAnsi="Arial" w:cs="Arial"/>
          <w:sz w:val="20"/>
          <w:szCs w:val="20"/>
        </w:rPr>
        <w:t>territorio dell’Unione Montana</w:t>
      </w:r>
      <w:r w:rsidR="00C070D8" w:rsidRPr="00C03D11">
        <w:rPr>
          <w:rFonts w:ascii="Arial" w:hAnsi="Arial" w:cs="Arial"/>
          <w:sz w:val="20"/>
          <w:szCs w:val="20"/>
        </w:rPr>
        <w:t xml:space="preserve"> </w:t>
      </w:r>
      <w:r w:rsidRPr="00C03D11">
        <w:rPr>
          <w:rFonts w:ascii="Arial" w:hAnsi="Arial" w:cs="Arial"/>
          <w:sz w:val="20"/>
          <w:szCs w:val="20"/>
        </w:rPr>
        <w:t xml:space="preserve">è inoltre attraversato dalla </w:t>
      </w:r>
      <w:r w:rsidR="003C548B">
        <w:rPr>
          <w:rFonts w:ascii="Arial" w:hAnsi="Arial" w:cs="Arial"/>
          <w:sz w:val="20"/>
          <w:szCs w:val="20"/>
        </w:rPr>
        <w:t xml:space="preserve">ex </w:t>
      </w:r>
      <w:r w:rsidRPr="00C03D11">
        <w:rPr>
          <w:rFonts w:ascii="Arial" w:hAnsi="Arial" w:cs="Arial"/>
          <w:sz w:val="20"/>
          <w:szCs w:val="20"/>
        </w:rPr>
        <w:t xml:space="preserve">linea ferroviaria </w:t>
      </w:r>
      <w:r w:rsidR="003C548B">
        <w:rPr>
          <w:rFonts w:ascii="Arial" w:hAnsi="Arial" w:cs="Arial"/>
          <w:sz w:val="20"/>
          <w:szCs w:val="20"/>
        </w:rPr>
        <w:t>Pinerolo</w:t>
      </w:r>
      <w:r w:rsidRPr="00C03D11">
        <w:rPr>
          <w:rFonts w:ascii="Arial" w:hAnsi="Arial" w:cs="Arial"/>
          <w:sz w:val="20"/>
          <w:szCs w:val="20"/>
        </w:rPr>
        <w:t xml:space="preserve"> – </w:t>
      </w:r>
      <w:r w:rsidR="003C548B">
        <w:rPr>
          <w:rFonts w:ascii="Arial" w:hAnsi="Arial" w:cs="Arial"/>
          <w:sz w:val="20"/>
          <w:szCs w:val="20"/>
        </w:rPr>
        <w:t>Torre Pellice, dismessa a partire dal 2012, che tocca i Comuni di San Secondo di Pinerolo, Bricherasio, Luserna San Giovanni</w:t>
      </w:r>
      <w:r w:rsidR="00D777B8" w:rsidRPr="00C03D11">
        <w:rPr>
          <w:rFonts w:ascii="Arial" w:hAnsi="Arial" w:cs="Arial"/>
          <w:sz w:val="20"/>
          <w:szCs w:val="20"/>
        </w:rPr>
        <w:t xml:space="preserve"> </w:t>
      </w:r>
      <w:r w:rsidR="003C548B">
        <w:rPr>
          <w:rFonts w:ascii="Arial" w:hAnsi="Arial" w:cs="Arial"/>
          <w:sz w:val="20"/>
          <w:szCs w:val="20"/>
        </w:rPr>
        <w:t>e Torre Pellice</w:t>
      </w:r>
      <w:r w:rsidRPr="00C03D11">
        <w:rPr>
          <w:rFonts w:ascii="Arial" w:hAnsi="Arial" w:cs="Arial"/>
          <w:sz w:val="20"/>
          <w:szCs w:val="20"/>
        </w:rPr>
        <w:t>; il tracciato ferroviario, all’interno dell’ambito in esame, è totalmente esterno, per cui sono presenti alcuni incroci tra la linea e la viabilità.</w:t>
      </w:r>
    </w:p>
    <w:p w:rsidR="006F5C2A" w:rsidRDefault="00DD507F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Nelle schede dei singoli comuni si sono prese in considerazione alcune delle situazioni potenzialmente a rischio, soprattutto per quanto concerne le limitazioni relative all’altezza dei mezzi transitabili.</w:t>
      </w:r>
    </w:p>
    <w:p w:rsidR="00A325ED" w:rsidRDefault="00A325ED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03D11" w:rsidRDefault="00A325ED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Nel Comune di Roletto transita invece la linea ferroviaria Pinerolo – Torino; si tratta di poche centinaia di metri nei pressi della stazione di Riva di Pinerolo. Anche su questa linea il tracciato è totalmente esterno ed è presente un passaggio a livello sulla S.P. 195 per Riva di Pinerolo.</w:t>
      </w:r>
    </w:p>
    <w:p w:rsidR="00C03D11" w:rsidRDefault="00C03D11" w:rsidP="00326FD4">
      <w:pPr>
        <w:pStyle w:val="Rientrocorpodeltesto2"/>
        <w:spacing w:after="0" w:line="240" w:lineRule="auto"/>
        <w:ind w:left="0"/>
        <w:jc w:val="both"/>
        <w:rPr>
          <w:rFonts w:ascii="Arial" w:hAnsi="Arial" w:cs="Arial"/>
          <w:sz w:val="20"/>
        </w:rPr>
      </w:pPr>
    </w:p>
    <w:p w:rsidR="003C548B" w:rsidRPr="00640496" w:rsidRDefault="003C548B">
      <w:pPr>
        <w:spacing w:line="320" w:lineRule="exact"/>
        <w:jc w:val="both"/>
        <w:rPr>
          <w:rFonts w:ascii="Calibri" w:hAnsi="Calibri"/>
        </w:rPr>
      </w:pPr>
    </w:p>
    <w:sectPr w:rsidR="003C548B" w:rsidRPr="00640496" w:rsidSect="004E121D">
      <w:headerReference w:type="default" r:id="rId14"/>
      <w:footerReference w:type="default" r:id="rId15"/>
      <w:footerReference w:type="first" r:id="rId16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92A" w:rsidRDefault="00E1692A" w:rsidP="009D312D">
      <w:pPr>
        <w:spacing w:after="0" w:line="240" w:lineRule="auto"/>
      </w:pPr>
      <w:r>
        <w:separator/>
      </w:r>
    </w:p>
  </w:endnote>
  <w:endnote w:type="continuationSeparator" w:id="0">
    <w:p w:rsidR="00E1692A" w:rsidRDefault="00E1692A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:rsidR="00090B84" w:rsidRPr="0039427B" w:rsidRDefault="00090B84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A325ED">
          <w:rPr>
            <w:noProof/>
            <w:sz w:val="20"/>
            <w:szCs w:val="20"/>
          </w:rPr>
          <w:t>4</w:t>
        </w:r>
        <w:r w:rsidRPr="0039427B">
          <w:rPr>
            <w:sz w:val="20"/>
            <w:szCs w:val="20"/>
          </w:rPr>
          <w:fldChar w:fldCharType="end"/>
        </w:r>
      </w:p>
    </w:sdtContent>
  </w:sdt>
  <w:p w:rsidR="00090B84" w:rsidRPr="0039427B" w:rsidRDefault="00090B84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B84" w:rsidRPr="0039427B" w:rsidRDefault="00090B84">
    <w:pPr>
      <w:pStyle w:val="Pidipagina"/>
      <w:jc w:val="right"/>
      <w:rPr>
        <w:sz w:val="18"/>
        <w:szCs w:val="18"/>
      </w:rPr>
    </w:pPr>
  </w:p>
  <w:p w:rsidR="00090B84" w:rsidRDefault="00090B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92A" w:rsidRDefault="00E1692A" w:rsidP="009D312D">
      <w:pPr>
        <w:spacing w:after="0" w:line="240" w:lineRule="auto"/>
      </w:pPr>
      <w:r>
        <w:separator/>
      </w:r>
    </w:p>
  </w:footnote>
  <w:footnote w:type="continuationSeparator" w:id="0">
    <w:p w:rsidR="00E1692A" w:rsidRDefault="00E1692A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149"/>
    </w:tblGrid>
    <w:tr w:rsidR="00090B84" w:rsidRPr="0039427B" w:rsidTr="00ED3915">
      <w:tc>
        <w:tcPr>
          <w:tcW w:w="6629" w:type="dxa"/>
        </w:tcPr>
        <w:p w:rsidR="00090B84" w:rsidRPr="0039427B" w:rsidRDefault="00090B84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>Piano 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149" w:type="dxa"/>
        </w:tcPr>
        <w:p w:rsidR="00090B84" w:rsidRPr="005A09DC" w:rsidRDefault="0009348B" w:rsidP="00A558C4">
          <w:pPr>
            <w:pStyle w:val="Intestazione"/>
            <w:jc w:val="center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Theme="minorHAnsi" w:hAnsiTheme="minorHAnsi"/>
              <w:i/>
            </w:rPr>
            <w:t>Comune di Bricherasio</w:t>
          </w:r>
        </w:p>
      </w:tc>
    </w:tr>
  </w:tbl>
  <w:p w:rsidR="00090B84" w:rsidRDefault="00090B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C1D8B"/>
    <w:multiLevelType w:val="hybridMultilevel"/>
    <w:tmpl w:val="18ACD03A"/>
    <w:lvl w:ilvl="0" w:tplc="8D9887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" w:eastAsia="Times New Roman" w:hAnsi="Lucida San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A270D"/>
    <w:multiLevelType w:val="hybridMultilevel"/>
    <w:tmpl w:val="98A09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0621"/>
    <w:rsid w:val="000147AC"/>
    <w:rsid w:val="00014D2E"/>
    <w:rsid w:val="000371F5"/>
    <w:rsid w:val="000561BB"/>
    <w:rsid w:val="000575FE"/>
    <w:rsid w:val="00062919"/>
    <w:rsid w:val="00074537"/>
    <w:rsid w:val="00090B84"/>
    <w:rsid w:val="00092D9B"/>
    <w:rsid w:val="0009348B"/>
    <w:rsid w:val="00096992"/>
    <w:rsid w:val="000B28E1"/>
    <w:rsid w:val="000C490A"/>
    <w:rsid w:val="000D5380"/>
    <w:rsid w:val="000E6BC1"/>
    <w:rsid w:val="000F643A"/>
    <w:rsid w:val="0012103C"/>
    <w:rsid w:val="00123E1B"/>
    <w:rsid w:val="00145B6F"/>
    <w:rsid w:val="00146C83"/>
    <w:rsid w:val="0014777A"/>
    <w:rsid w:val="00155E53"/>
    <w:rsid w:val="00156FBB"/>
    <w:rsid w:val="0018494F"/>
    <w:rsid w:val="0018613F"/>
    <w:rsid w:val="001C5EC2"/>
    <w:rsid w:val="001E4E93"/>
    <w:rsid w:val="001F0F77"/>
    <w:rsid w:val="001F4BAE"/>
    <w:rsid w:val="002131B8"/>
    <w:rsid w:val="002138CC"/>
    <w:rsid w:val="002217FC"/>
    <w:rsid w:val="00222ABF"/>
    <w:rsid w:val="0022361B"/>
    <w:rsid w:val="00243A0C"/>
    <w:rsid w:val="00252E50"/>
    <w:rsid w:val="00260B88"/>
    <w:rsid w:val="00261444"/>
    <w:rsid w:val="002778B2"/>
    <w:rsid w:val="0028056F"/>
    <w:rsid w:val="002821B3"/>
    <w:rsid w:val="002841A8"/>
    <w:rsid w:val="002A2377"/>
    <w:rsid w:val="002A41F1"/>
    <w:rsid w:val="002A5745"/>
    <w:rsid w:val="002C5B9B"/>
    <w:rsid w:val="002D1E7A"/>
    <w:rsid w:val="002F0D78"/>
    <w:rsid w:val="002F4D32"/>
    <w:rsid w:val="00315610"/>
    <w:rsid w:val="00317508"/>
    <w:rsid w:val="00326FD4"/>
    <w:rsid w:val="00331CDA"/>
    <w:rsid w:val="00336EC4"/>
    <w:rsid w:val="003415D0"/>
    <w:rsid w:val="00342898"/>
    <w:rsid w:val="0035006F"/>
    <w:rsid w:val="00372B5D"/>
    <w:rsid w:val="00382C11"/>
    <w:rsid w:val="0039427B"/>
    <w:rsid w:val="0039530B"/>
    <w:rsid w:val="003A2A93"/>
    <w:rsid w:val="003B09F4"/>
    <w:rsid w:val="003C548B"/>
    <w:rsid w:val="003C68BD"/>
    <w:rsid w:val="003F7261"/>
    <w:rsid w:val="004107D3"/>
    <w:rsid w:val="00410A60"/>
    <w:rsid w:val="00413765"/>
    <w:rsid w:val="00413C14"/>
    <w:rsid w:val="004203DB"/>
    <w:rsid w:val="00420774"/>
    <w:rsid w:val="00421D83"/>
    <w:rsid w:val="004464BE"/>
    <w:rsid w:val="00450301"/>
    <w:rsid w:val="004629F2"/>
    <w:rsid w:val="00463537"/>
    <w:rsid w:val="00464307"/>
    <w:rsid w:val="00480813"/>
    <w:rsid w:val="004A1459"/>
    <w:rsid w:val="004A5763"/>
    <w:rsid w:val="004B04C4"/>
    <w:rsid w:val="004B59FE"/>
    <w:rsid w:val="004D0744"/>
    <w:rsid w:val="004D2AEB"/>
    <w:rsid w:val="004D4393"/>
    <w:rsid w:val="004D6451"/>
    <w:rsid w:val="004E052D"/>
    <w:rsid w:val="004E121D"/>
    <w:rsid w:val="004E6DBA"/>
    <w:rsid w:val="004F0217"/>
    <w:rsid w:val="004F5DDA"/>
    <w:rsid w:val="00505996"/>
    <w:rsid w:val="0051105C"/>
    <w:rsid w:val="005372D4"/>
    <w:rsid w:val="005411DD"/>
    <w:rsid w:val="005565BF"/>
    <w:rsid w:val="0056097F"/>
    <w:rsid w:val="0056677D"/>
    <w:rsid w:val="00567248"/>
    <w:rsid w:val="00572F9D"/>
    <w:rsid w:val="00583E2C"/>
    <w:rsid w:val="00595E8C"/>
    <w:rsid w:val="005A09DC"/>
    <w:rsid w:val="005C319A"/>
    <w:rsid w:val="005E23FC"/>
    <w:rsid w:val="005E6AD1"/>
    <w:rsid w:val="005F20F6"/>
    <w:rsid w:val="00601E3E"/>
    <w:rsid w:val="00603854"/>
    <w:rsid w:val="00612C55"/>
    <w:rsid w:val="006149F3"/>
    <w:rsid w:val="006514A6"/>
    <w:rsid w:val="00663603"/>
    <w:rsid w:val="00666CC9"/>
    <w:rsid w:val="00687ED5"/>
    <w:rsid w:val="006B6AD5"/>
    <w:rsid w:val="006C43E4"/>
    <w:rsid w:val="006C552F"/>
    <w:rsid w:val="006F5C2A"/>
    <w:rsid w:val="00714FB5"/>
    <w:rsid w:val="00724F58"/>
    <w:rsid w:val="00735086"/>
    <w:rsid w:val="00751558"/>
    <w:rsid w:val="007627A5"/>
    <w:rsid w:val="0077105C"/>
    <w:rsid w:val="007722E2"/>
    <w:rsid w:val="00790AD5"/>
    <w:rsid w:val="007A0BD5"/>
    <w:rsid w:val="007A1221"/>
    <w:rsid w:val="007A3AA8"/>
    <w:rsid w:val="007A509E"/>
    <w:rsid w:val="007A739D"/>
    <w:rsid w:val="007B6245"/>
    <w:rsid w:val="007C7A24"/>
    <w:rsid w:val="007E3C33"/>
    <w:rsid w:val="007E3EAF"/>
    <w:rsid w:val="00802945"/>
    <w:rsid w:val="00806520"/>
    <w:rsid w:val="00810F2D"/>
    <w:rsid w:val="00811018"/>
    <w:rsid w:val="00814E93"/>
    <w:rsid w:val="00831960"/>
    <w:rsid w:val="008356A0"/>
    <w:rsid w:val="00840B91"/>
    <w:rsid w:val="00864A5C"/>
    <w:rsid w:val="00870FCC"/>
    <w:rsid w:val="00874B3E"/>
    <w:rsid w:val="00882FA0"/>
    <w:rsid w:val="0089612A"/>
    <w:rsid w:val="008A0FD7"/>
    <w:rsid w:val="008A4112"/>
    <w:rsid w:val="008C23F3"/>
    <w:rsid w:val="008D09A2"/>
    <w:rsid w:val="008D33CF"/>
    <w:rsid w:val="008D6814"/>
    <w:rsid w:val="008D7DC3"/>
    <w:rsid w:val="008F2437"/>
    <w:rsid w:val="008F7415"/>
    <w:rsid w:val="00902898"/>
    <w:rsid w:val="009108D8"/>
    <w:rsid w:val="009354DB"/>
    <w:rsid w:val="00945494"/>
    <w:rsid w:val="00956709"/>
    <w:rsid w:val="00961B3E"/>
    <w:rsid w:val="00975912"/>
    <w:rsid w:val="00976980"/>
    <w:rsid w:val="009B4B17"/>
    <w:rsid w:val="009D2FEE"/>
    <w:rsid w:val="009D312D"/>
    <w:rsid w:val="00A020B0"/>
    <w:rsid w:val="00A10FFE"/>
    <w:rsid w:val="00A12F1C"/>
    <w:rsid w:val="00A325ED"/>
    <w:rsid w:val="00A3524D"/>
    <w:rsid w:val="00A51BED"/>
    <w:rsid w:val="00A558C4"/>
    <w:rsid w:val="00A72936"/>
    <w:rsid w:val="00AA35E6"/>
    <w:rsid w:val="00AA44CE"/>
    <w:rsid w:val="00AA5134"/>
    <w:rsid w:val="00AD63B4"/>
    <w:rsid w:val="00B00B91"/>
    <w:rsid w:val="00B20A8C"/>
    <w:rsid w:val="00B24F3D"/>
    <w:rsid w:val="00B340D9"/>
    <w:rsid w:val="00B44730"/>
    <w:rsid w:val="00B5651F"/>
    <w:rsid w:val="00B75FCC"/>
    <w:rsid w:val="00B91235"/>
    <w:rsid w:val="00B921CF"/>
    <w:rsid w:val="00B97CF9"/>
    <w:rsid w:val="00BA1032"/>
    <w:rsid w:val="00BA6330"/>
    <w:rsid w:val="00BA7416"/>
    <w:rsid w:val="00BC177D"/>
    <w:rsid w:val="00BC1A56"/>
    <w:rsid w:val="00BC1E26"/>
    <w:rsid w:val="00BD0BEA"/>
    <w:rsid w:val="00C0038F"/>
    <w:rsid w:val="00C03D11"/>
    <w:rsid w:val="00C062B3"/>
    <w:rsid w:val="00C070D8"/>
    <w:rsid w:val="00C34653"/>
    <w:rsid w:val="00C45C8C"/>
    <w:rsid w:val="00C46613"/>
    <w:rsid w:val="00C90A72"/>
    <w:rsid w:val="00C94C79"/>
    <w:rsid w:val="00C96531"/>
    <w:rsid w:val="00CE7CD6"/>
    <w:rsid w:val="00CF5342"/>
    <w:rsid w:val="00CF6982"/>
    <w:rsid w:val="00D0678E"/>
    <w:rsid w:val="00D2465F"/>
    <w:rsid w:val="00D3547B"/>
    <w:rsid w:val="00D43B81"/>
    <w:rsid w:val="00D51FBD"/>
    <w:rsid w:val="00D567BB"/>
    <w:rsid w:val="00D56DD1"/>
    <w:rsid w:val="00D777B8"/>
    <w:rsid w:val="00D87D60"/>
    <w:rsid w:val="00D91970"/>
    <w:rsid w:val="00DB121E"/>
    <w:rsid w:val="00DD507F"/>
    <w:rsid w:val="00DD5617"/>
    <w:rsid w:val="00DD5E2E"/>
    <w:rsid w:val="00DD6D2D"/>
    <w:rsid w:val="00DF1548"/>
    <w:rsid w:val="00E1692A"/>
    <w:rsid w:val="00E30820"/>
    <w:rsid w:val="00E41E78"/>
    <w:rsid w:val="00E42531"/>
    <w:rsid w:val="00E71CA3"/>
    <w:rsid w:val="00EB1D00"/>
    <w:rsid w:val="00EC67CC"/>
    <w:rsid w:val="00ED3915"/>
    <w:rsid w:val="00F00168"/>
    <w:rsid w:val="00F05A9E"/>
    <w:rsid w:val="00F11217"/>
    <w:rsid w:val="00F50B92"/>
    <w:rsid w:val="00F57CCC"/>
    <w:rsid w:val="00F664CD"/>
    <w:rsid w:val="00F94509"/>
    <w:rsid w:val="00F96472"/>
    <w:rsid w:val="00F96AEB"/>
    <w:rsid w:val="00FD27AA"/>
    <w:rsid w:val="00FD6C23"/>
    <w:rsid w:val="00FE5AD5"/>
    <w:rsid w:val="00FE6E2F"/>
    <w:rsid w:val="00FE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38B77"/>
  <w15:docId w15:val="{03CAA3D7-4158-4E36-BCFC-DE4A3EDD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7BCC5-D3C7-4ACF-9465-AD48F088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978</Words>
  <Characters>6027</Characters>
  <Application>Microsoft Office Word</Application>
  <DocSecurity>0</DocSecurity>
  <Lines>223</Lines>
  <Paragraphs>104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43</cp:revision>
  <dcterms:created xsi:type="dcterms:W3CDTF">2016-11-30T13:35:00Z</dcterms:created>
  <dcterms:modified xsi:type="dcterms:W3CDTF">2018-08-31T12:42:00Z</dcterms:modified>
</cp:coreProperties>
</file>